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37F" w:rsidRDefault="00DC27E9" w:rsidP="00DC27E9">
      <w:pPr>
        <w:jc w:val="center"/>
      </w:pPr>
      <w:r>
        <w:rPr>
          <w:b/>
        </w:rPr>
        <w:t>Power of Voice</w:t>
      </w:r>
    </w:p>
    <w:p w:rsidR="00DC27E9" w:rsidRDefault="00DC27E9" w:rsidP="00DC27E9">
      <w:pPr>
        <w:jc w:val="center"/>
      </w:pPr>
      <w:r>
        <w:t>Final Exam 2011</w:t>
      </w:r>
    </w:p>
    <w:p w:rsidR="00DC27E9" w:rsidRDefault="00DC27E9" w:rsidP="00DC27E9">
      <w:pPr>
        <w:pStyle w:val="ListParagraph"/>
        <w:numPr>
          <w:ilvl w:val="0"/>
          <w:numId w:val="1"/>
        </w:numPr>
      </w:pPr>
      <w:r>
        <w:t xml:space="preserve">Answer </w:t>
      </w:r>
      <w:r w:rsidRPr="00D45632">
        <w:rPr>
          <w:b/>
        </w:rPr>
        <w:t>two</w:t>
      </w:r>
      <w:r>
        <w:t xml:space="preserve"> of the following questions</w:t>
      </w:r>
    </w:p>
    <w:p w:rsidR="00DC27E9" w:rsidRDefault="00DC27E9" w:rsidP="00DC27E9">
      <w:pPr>
        <w:pStyle w:val="ListParagraph"/>
        <w:numPr>
          <w:ilvl w:val="0"/>
          <w:numId w:val="3"/>
        </w:numPr>
      </w:pPr>
      <w:r>
        <w:t xml:space="preserve">Explain, using at least three examples from the play, how the following quote helps you understand </w:t>
      </w:r>
      <w:r>
        <w:rPr>
          <w:i/>
        </w:rPr>
        <w:t>Macbeth</w:t>
      </w:r>
      <w:r>
        <w:t xml:space="preserve">. </w:t>
      </w:r>
    </w:p>
    <w:p w:rsidR="00DC27E9" w:rsidRDefault="00DC27E9" w:rsidP="00DC27E9">
      <w:pPr>
        <w:pStyle w:val="ListParagraph"/>
        <w:numPr>
          <w:ilvl w:val="1"/>
          <w:numId w:val="3"/>
        </w:numPr>
        <w:rPr>
          <w:i/>
        </w:rPr>
      </w:pPr>
      <w:r w:rsidRPr="00DC27E9">
        <w:rPr>
          <w:i/>
        </w:rPr>
        <w:t xml:space="preserve">MACBETH: It will have blood, they say; blood will have blood. </w:t>
      </w:r>
      <w:r>
        <w:rPr>
          <w:i/>
        </w:rPr>
        <w:t>(III, 4, 151)</w:t>
      </w:r>
    </w:p>
    <w:p w:rsidR="00D45632" w:rsidRDefault="00D45632" w:rsidP="00D45632">
      <w:pPr>
        <w:pStyle w:val="ListParagraph"/>
        <w:ind w:left="1440"/>
        <w:rPr>
          <w:i/>
        </w:rPr>
      </w:pPr>
    </w:p>
    <w:p w:rsidR="00DC27E9" w:rsidRDefault="00DC27E9" w:rsidP="001A18CF">
      <w:pPr>
        <w:pStyle w:val="ListParagraph"/>
        <w:numPr>
          <w:ilvl w:val="0"/>
          <w:numId w:val="3"/>
        </w:numPr>
      </w:pPr>
      <w:r>
        <w:t xml:space="preserve">Explain how The Beast from </w:t>
      </w:r>
      <w:r w:rsidRPr="001A18CF">
        <w:rPr>
          <w:i/>
        </w:rPr>
        <w:t>Lord of the Flies</w:t>
      </w:r>
      <w:r>
        <w:t xml:space="preserve"> is a “dagger of the mind.” Here is a hint: Remember that the witches </w:t>
      </w:r>
      <w:r w:rsidRPr="001A18CF">
        <w:rPr>
          <w:b/>
        </w:rPr>
        <w:t>only</w:t>
      </w:r>
      <w:r>
        <w:t xml:space="preserve"> said that Macbeth would be king, but they never said that he</w:t>
      </w:r>
      <w:r w:rsidR="001A18CF">
        <w:t xml:space="preserve"> would have</w:t>
      </w:r>
      <w:r>
        <w:t xml:space="preserve"> to commit murder. The quote “dagger of the mind” is from Macbeth’s monologue (II, 1, 50) </w:t>
      </w:r>
      <w:r w:rsidR="001A18CF">
        <w:t xml:space="preserve">delivered right before he goes to kill Duncan in his sleep. Keep this in mind as you consider how The Beast compares to this “dagger of the mind.” </w:t>
      </w:r>
    </w:p>
    <w:p w:rsidR="00D45632" w:rsidRDefault="00D45632" w:rsidP="00D45632">
      <w:pPr>
        <w:pStyle w:val="ListParagraph"/>
      </w:pPr>
    </w:p>
    <w:p w:rsidR="001A18CF" w:rsidRDefault="00C8646E" w:rsidP="00C8646E">
      <w:pPr>
        <w:pStyle w:val="ListParagraph"/>
        <w:numPr>
          <w:ilvl w:val="0"/>
          <w:numId w:val="3"/>
        </w:numPr>
      </w:pPr>
      <w:r>
        <w:t xml:space="preserve">Please read “The Tell-Tale Heart” by Edgar Allen Poe (story provided). How does this short story connect to other books we have read this year? Make at least two connections to other works, and please be specific in your connections. </w:t>
      </w:r>
    </w:p>
    <w:p w:rsidR="00D45632" w:rsidRDefault="00D45632" w:rsidP="00D45632">
      <w:pPr>
        <w:pStyle w:val="ListParagraph"/>
      </w:pPr>
    </w:p>
    <w:p w:rsidR="00940569" w:rsidRDefault="00940569" w:rsidP="00940569">
      <w:pPr>
        <w:pStyle w:val="ListParagraph"/>
        <w:numPr>
          <w:ilvl w:val="0"/>
          <w:numId w:val="5"/>
        </w:numPr>
      </w:pPr>
      <w:r>
        <w:t>Grading</w:t>
      </w:r>
    </w:p>
    <w:p w:rsidR="00940569" w:rsidRDefault="00DB7B81" w:rsidP="00940569">
      <w:pPr>
        <w:pStyle w:val="ListParagraph"/>
        <w:numPr>
          <w:ilvl w:val="1"/>
          <w:numId w:val="5"/>
        </w:numPr>
      </w:pPr>
      <w:r>
        <w:t>Answers will be scored by the following rubric – it is a modified version of the 6+1 Rubric used throughout the year</w:t>
      </w:r>
    </w:p>
    <w:tbl>
      <w:tblPr>
        <w:tblStyle w:val="TableGrid"/>
        <w:tblW w:w="10170" w:type="dxa"/>
        <w:tblInd w:w="-162" w:type="dxa"/>
        <w:tblLook w:val="04A0" w:firstRow="1" w:lastRow="0" w:firstColumn="1" w:lastColumn="0" w:noHBand="0" w:noVBand="1"/>
      </w:tblPr>
      <w:tblGrid>
        <w:gridCol w:w="1350"/>
        <w:gridCol w:w="2790"/>
        <w:gridCol w:w="2970"/>
        <w:gridCol w:w="3060"/>
      </w:tblGrid>
      <w:tr w:rsidR="00DB7B81" w:rsidTr="00D45632">
        <w:tc>
          <w:tcPr>
            <w:tcW w:w="1350" w:type="dxa"/>
          </w:tcPr>
          <w:p w:rsidR="00DB7B81" w:rsidRPr="00D45632" w:rsidRDefault="00DB7B81" w:rsidP="00DB7B81">
            <w:pPr>
              <w:rPr>
                <w:sz w:val="20"/>
                <w:szCs w:val="20"/>
              </w:rPr>
            </w:pPr>
            <w:r w:rsidRPr="00D45632">
              <w:rPr>
                <w:sz w:val="20"/>
                <w:szCs w:val="20"/>
              </w:rPr>
              <w:t xml:space="preserve"> </w:t>
            </w:r>
            <w:r w:rsidR="00D726BC" w:rsidRPr="00D45632">
              <w:rPr>
                <w:sz w:val="20"/>
                <w:szCs w:val="20"/>
              </w:rPr>
              <w:t>Category</w:t>
            </w:r>
          </w:p>
        </w:tc>
        <w:tc>
          <w:tcPr>
            <w:tcW w:w="2790" w:type="dxa"/>
          </w:tcPr>
          <w:p w:rsidR="00DB7B81" w:rsidRPr="00D45632" w:rsidRDefault="00D726BC" w:rsidP="00DB7B81">
            <w:pPr>
              <w:rPr>
                <w:sz w:val="20"/>
                <w:szCs w:val="20"/>
              </w:rPr>
            </w:pPr>
            <w:r w:rsidRPr="00D45632">
              <w:rPr>
                <w:sz w:val="20"/>
                <w:szCs w:val="20"/>
              </w:rPr>
              <w:t>3</w:t>
            </w:r>
          </w:p>
        </w:tc>
        <w:tc>
          <w:tcPr>
            <w:tcW w:w="2970" w:type="dxa"/>
          </w:tcPr>
          <w:p w:rsidR="00DB7B81" w:rsidRPr="00D45632" w:rsidRDefault="00D726BC" w:rsidP="00DB7B81">
            <w:pPr>
              <w:rPr>
                <w:sz w:val="20"/>
                <w:szCs w:val="20"/>
              </w:rPr>
            </w:pPr>
            <w:r w:rsidRPr="00D45632">
              <w:rPr>
                <w:sz w:val="20"/>
                <w:szCs w:val="20"/>
              </w:rPr>
              <w:t>2</w:t>
            </w:r>
          </w:p>
        </w:tc>
        <w:tc>
          <w:tcPr>
            <w:tcW w:w="3060" w:type="dxa"/>
          </w:tcPr>
          <w:p w:rsidR="00DB7B81" w:rsidRPr="00D45632" w:rsidRDefault="00D726BC" w:rsidP="00DB7B81">
            <w:pPr>
              <w:rPr>
                <w:sz w:val="20"/>
                <w:szCs w:val="20"/>
              </w:rPr>
            </w:pPr>
            <w:r w:rsidRPr="00D45632">
              <w:rPr>
                <w:sz w:val="20"/>
                <w:szCs w:val="20"/>
              </w:rPr>
              <w:t>1</w:t>
            </w:r>
          </w:p>
        </w:tc>
      </w:tr>
      <w:tr w:rsidR="00DB7B81" w:rsidTr="00D45632">
        <w:tc>
          <w:tcPr>
            <w:tcW w:w="1350" w:type="dxa"/>
          </w:tcPr>
          <w:p w:rsidR="00DB7B81" w:rsidRPr="00D45632" w:rsidRDefault="00D726BC" w:rsidP="00DB7B81">
            <w:pPr>
              <w:rPr>
                <w:sz w:val="20"/>
                <w:szCs w:val="20"/>
              </w:rPr>
            </w:pPr>
            <w:r w:rsidRPr="00D45632">
              <w:rPr>
                <w:sz w:val="20"/>
                <w:szCs w:val="20"/>
              </w:rPr>
              <w:t>Ideas</w:t>
            </w:r>
          </w:p>
        </w:tc>
        <w:tc>
          <w:tcPr>
            <w:tcW w:w="2790" w:type="dxa"/>
          </w:tcPr>
          <w:p w:rsidR="00D726BC" w:rsidRPr="00D45632" w:rsidRDefault="00D726BC" w:rsidP="00D726BC">
            <w:pPr>
              <w:rPr>
                <w:sz w:val="20"/>
                <w:szCs w:val="20"/>
              </w:rPr>
            </w:pPr>
            <w:r w:rsidRPr="00D45632">
              <w:rPr>
                <w:sz w:val="20"/>
                <w:szCs w:val="20"/>
              </w:rPr>
              <w:t xml:space="preserve">This paper is clear and focused.  It holds the reader's attention.  Relevant </w:t>
            </w:r>
            <w:r w:rsidR="00351054">
              <w:rPr>
                <w:sz w:val="20"/>
                <w:szCs w:val="20"/>
              </w:rPr>
              <w:t xml:space="preserve">examples / </w:t>
            </w:r>
            <w:r w:rsidRPr="00D45632">
              <w:rPr>
                <w:sz w:val="20"/>
                <w:szCs w:val="20"/>
              </w:rPr>
              <w:t xml:space="preserve">details </w:t>
            </w:r>
          </w:p>
          <w:p w:rsidR="00DB7B81" w:rsidRPr="00D45632" w:rsidRDefault="00D726BC" w:rsidP="00D726BC">
            <w:pPr>
              <w:rPr>
                <w:sz w:val="20"/>
                <w:szCs w:val="20"/>
              </w:rPr>
            </w:pPr>
            <w:proofErr w:type="gramStart"/>
            <w:r w:rsidRPr="00D45632">
              <w:rPr>
                <w:sz w:val="20"/>
                <w:szCs w:val="20"/>
              </w:rPr>
              <w:t>enrich</w:t>
            </w:r>
            <w:proofErr w:type="gramEnd"/>
            <w:r w:rsidRPr="00D45632">
              <w:rPr>
                <w:sz w:val="20"/>
                <w:szCs w:val="20"/>
              </w:rPr>
              <w:t xml:space="preserve"> the central theme.</w:t>
            </w:r>
          </w:p>
        </w:tc>
        <w:tc>
          <w:tcPr>
            <w:tcW w:w="2970" w:type="dxa"/>
          </w:tcPr>
          <w:p w:rsidR="00DB7B81" w:rsidRPr="00D45632" w:rsidRDefault="00D726BC" w:rsidP="00D45632">
            <w:pPr>
              <w:rPr>
                <w:sz w:val="20"/>
                <w:szCs w:val="20"/>
              </w:rPr>
            </w:pPr>
            <w:r w:rsidRPr="00D45632">
              <w:rPr>
                <w:sz w:val="20"/>
                <w:szCs w:val="20"/>
              </w:rPr>
              <w:t>The writer is beginning to define the topic, even though development is still basic or general</w:t>
            </w:r>
          </w:p>
        </w:tc>
        <w:tc>
          <w:tcPr>
            <w:tcW w:w="3060" w:type="dxa"/>
          </w:tcPr>
          <w:p w:rsidR="00D726BC" w:rsidRPr="00D45632" w:rsidRDefault="00D726BC" w:rsidP="00D726BC">
            <w:pPr>
              <w:rPr>
                <w:sz w:val="20"/>
                <w:szCs w:val="20"/>
              </w:rPr>
            </w:pPr>
            <w:r w:rsidRPr="00D45632">
              <w:rPr>
                <w:sz w:val="20"/>
                <w:szCs w:val="20"/>
              </w:rPr>
              <w:t xml:space="preserve">The paper has no clear sense of purpose or central </w:t>
            </w:r>
            <w:r w:rsidRPr="00D45632">
              <w:rPr>
                <w:sz w:val="20"/>
                <w:szCs w:val="20"/>
              </w:rPr>
              <w:t>idea</w:t>
            </w:r>
            <w:r w:rsidR="00351054">
              <w:rPr>
                <w:sz w:val="20"/>
                <w:szCs w:val="20"/>
              </w:rPr>
              <w:t>.</w:t>
            </w:r>
            <w:r w:rsidRPr="00D45632">
              <w:rPr>
                <w:sz w:val="20"/>
                <w:szCs w:val="20"/>
              </w:rPr>
              <w:t xml:space="preserve"> The reader must make inferences </w:t>
            </w:r>
          </w:p>
          <w:p w:rsidR="00DB7B81" w:rsidRPr="00D45632" w:rsidRDefault="00D726BC" w:rsidP="00D45632">
            <w:pPr>
              <w:rPr>
                <w:sz w:val="20"/>
                <w:szCs w:val="20"/>
              </w:rPr>
            </w:pPr>
            <w:r w:rsidRPr="00D45632">
              <w:rPr>
                <w:sz w:val="20"/>
                <w:szCs w:val="20"/>
              </w:rPr>
              <w:t xml:space="preserve">based on sketchy or missing </w:t>
            </w:r>
            <w:r w:rsidR="00D45632">
              <w:rPr>
                <w:sz w:val="20"/>
                <w:szCs w:val="20"/>
              </w:rPr>
              <w:t>d</w:t>
            </w:r>
            <w:r w:rsidRPr="00D45632">
              <w:rPr>
                <w:sz w:val="20"/>
                <w:szCs w:val="20"/>
              </w:rPr>
              <w:t>etails</w:t>
            </w:r>
          </w:p>
        </w:tc>
      </w:tr>
      <w:tr w:rsidR="00DB7B81" w:rsidTr="00D45632">
        <w:tc>
          <w:tcPr>
            <w:tcW w:w="1350" w:type="dxa"/>
          </w:tcPr>
          <w:p w:rsidR="00DB7B81" w:rsidRPr="00D45632" w:rsidRDefault="00D726BC" w:rsidP="00DB7B81">
            <w:pPr>
              <w:rPr>
                <w:sz w:val="20"/>
                <w:szCs w:val="20"/>
              </w:rPr>
            </w:pPr>
            <w:r w:rsidRPr="00D45632">
              <w:rPr>
                <w:sz w:val="20"/>
                <w:szCs w:val="20"/>
              </w:rPr>
              <w:t>Organization</w:t>
            </w:r>
          </w:p>
        </w:tc>
        <w:tc>
          <w:tcPr>
            <w:tcW w:w="2790" w:type="dxa"/>
          </w:tcPr>
          <w:p w:rsidR="00606E80" w:rsidRPr="00D45632" w:rsidRDefault="00D726BC" w:rsidP="00606E80">
            <w:pPr>
              <w:rPr>
                <w:sz w:val="20"/>
                <w:szCs w:val="20"/>
              </w:rPr>
            </w:pPr>
            <w:r w:rsidRPr="00D45632">
              <w:rPr>
                <w:sz w:val="20"/>
                <w:szCs w:val="20"/>
              </w:rPr>
              <w:t xml:space="preserve">The organizational structure of this paper enhances and showcases the central idea or theme </w:t>
            </w:r>
            <w:r w:rsidR="00606E80" w:rsidRPr="00D45632">
              <w:rPr>
                <w:sz w:val="20"/>
                <w:szCs w:val="20"/>
              </w:rPr>
              <w:t>of the paper.</w:t>
            </w:r>
          </w:p>
          <w:p w:rsidR="00DB7B81" w:rsidRPr="00D45632" w:rsidRDefault="00DB7B81" w:rsidP="00D726BC">
            <w:pPr>
              <w:rPr>
                <w:sz w:val="20"/>
                <w:szCs w:val="20"/>
              </w:rPr>
            </w:pPr>
          </w:p>
        </w:tc>
        <w:tc>
          <w:tcPr>
            <w:tcW w:w="2970" w:type="dxa"/>
          </w:tcPr>
          <w:p w:rsidR="00DB7B81" w:rsidRPr="00D45632" w:rsidRDefault="00D726BC" w:rsidP="00D45632">
            <w:pPr>
              <w:rPr>
                <w:sz w:val="20"/>
                <w:szCs w:val="20"/>
              </w:rPr>
            </w:pPr>
            <w:r w:rsidRPr="00D45632">
              <w:rPr>
                <w:sz w:val="20"/>
                <w:szCs w:val="20"/>
              </w:rPr>
              <w:t>The organizational structure is strong enough to move the reader through the text without too much confusio</w:t>
            </w:r>
            <w:r w:rsidRPr="00D45632">
              <w:rPr>
                <w:sz w:val="20"/>
                <w:szCs w:val="20"/>
              </w:rPr>
              <w:t>n</w:t>
            </w:r>
          </w:p>
        </w:tc>
        <w:tc>
          <w:tcPr>
            <w:tcW w:w="3060" w:type="dxa"/>
          </w:tcPr>
          <w:p w:rsidR="00DB7B81" w:rsidRPr="00D45632" w:rsidRDefault="00D726BC" w:rsidP="00DB7B81">
            <w:pPr>
              <w:rPr>
                <w:sz w:val="20"/>
                <w:szCs w:val="20"/>
              </w:rPr>
            </w:pPr>
            <w:r w:rsidRPr="00D45632">
              <w:rPr>
                <w:sz w:val="20"/>
                <w:szCs w:val="20"/>
              </w:rPr>
              <w:t>The writing lacks a clear sense of direction.</w:t>
            </w:r>
          </w:p>
        </w:tc>
      </w:tr>
      <w:tr w:rsidR="00DB7B81" w:rsidTr="00D45632">
        <w:tc>
          <w:tcPr>
            <w:tcW w:w="1350" w:type="dxa"/>
          </w:tcPr>
          <w:p w:rsidR="00DB7B81" w:rsidRPr="00D45632" w:rsidRDefault="00D726BC" w:rsidP="00DB7B81">
            <w:pPr>
              <w:rPr>
                <w:sz w:val="20"/>
                <w:szCs w:val="20"/>
              </w:rPr>
            </w:pPr>
            <w:r w:rsidRPr="00D45632">
              <w:rPr>
                <w:sz w:val="20"/>
                <w:szCs w:val="20"/>
              </w:rPr>
              <w:t>Voice</w:t>
            </w:r>
          </w:p>
        </w:tc>
        <w:tc>
          <w:tcPr>
            <w:tcW w:w="2790" w:type="dxa"/>
          </w:tcPr>
          <w:p w:rsidR="00DB7B81" w:rsidRPr="00D45632" w:rsidRDefault="00D726BC" w:rsidP="00351054">
            <w:pPr>
              <w:rPr>
                <w:sz w:val="20"/>
                <w:szCs w:val="20"/>
              </w:rPr>
            </w:pPr>
            <w:r w:rsidRPr="00D45632">
              <w:rPr>
                <w:sz w:val="20"/>
                <w:szCs w:val="20"/>
              </w:rPr>
              <w:t xml:space="preserve">The writer of this paper speaks directly to the reader in a manner that </w:t>
            </w:r>
            <w:bookmarkStart w:id="0" w:name="_GoBack"/>
            <w:bookmarkEnd w:id="0"/>
            <w:r w:rsidRPr="00D45632">
              <w:rPr>
                <w:sz w:val="20"/>
                <w:szCs w:val="20"/>
              </w:rPr>
              <w:t>is individual, compelling, engaging, and shows respect for the audience</w:t>
            </w:r>
          </w:p>
        </w:tc>
        <w:tc>
          <w:tcPr>
            <w:tcW w:w="2970" w:type="dxa"/>
          </w:tcPr>
          <w:p w:rsidR="00D726BC" w:rsidRPr="00D45632" w:rsidRDefault="00D726BC" w:rsidP="00D726BC">
            <w:pPr>
              <w:rPr>
                <w:sz w:val="20"/>
                <w:szCs w:val="20"/>
              </w:rPr>
            </w:pPr>
            <w:r w:rsidRPr="00D45632">
              <w:rPr>
                <w:sz w:val="20"/>
                <w:szCs w:val="20"/>
              </w:rPr>
              <w:t>The writer seems sincere, but not fully engaged or involved.</w:t>
            </w:r>
            <w:r w:rsidR="00351054">
              <w:rPr>
                <w:sz w:val="20"/>
                <w:szCs w:val="20"/>
              </w:rPr>
              <w:t xml:space="preserve">  The result is good</w:t>
            </w:r>
            <w:r w:rsidRPr="00D45632">
              <w:rPr>
                <w:sz w:val="20"/>
                <w:szCs w:val="20"/>
              </w:rPr>
              <w:t xml:space="preserve">, but not </w:t>
            </w:r>
            <w:r w:rsidR="00351054">
              <w:rPr>
                <w:sz w:val="20"/>
                <w:szCs w:val="20"/>
              </w:rPr>
              <w:t>c</w:t>
            </w:r>
            <w:r w:rsidRPr="00D45632">
              <w:rPr>
                <w:sz w:val="20"/>
                <w:szCs w:val="20"/>
              </w:rPr>
              <w:t>ompelling.</w:t>
            </w:r>
          </w:p>
          <w:p w:rsidR="00DB7B81" w:rsidRPr="00D45632" w:rsidRDefault="00DB7B81" w:rsidP="00D726BC">
            <w:pPr>
              <w:rPr>
                <w:sz w:val="20"/>
                <w:szCs w:val="20"/>
              </w:rPr>
            </w:pPr>
          </w:p>
        </w:tc>
        <w:tc>
          <w:tcPr>
            <w:tcW w:w="3060" w:type="dxa"/>
          </w:tcPr>
          <w:p w:rsidR="00DB7B81" w:rsidRPr="00D45632" w:rsidRDefault="00D45632" w:rsidP="00351054">
            <w:pPr>
              <w:rPr>
                <w:sz w:val="20"/>
                <w:szCs w:val="20"/>
              </w:rPr>
            </w:pPr>
            <w:r w:rsidRPr="00D45632">
              <w:rPr>
                <w:sz w:val="20"/>
                <w:szCs w:val="20"/>
              </w:rPr>
              <w:t>The writer seems uninvolved with the topic and the audience</w:t>
            </w:r>
          </w:p>
        </w:tc>
      </w:tr>
    </w:tbl>
    <w:p w:rsidR="00DB7B81" w:rsidRDefault="00DB7B81" w:rsidP="00DB7B81"/>
    <w:p w:rsidR="00D45632" w:rsidRDefault="00D45632" w:rsidP="00D45632">
      <w:pPr>
        <w:spacing w:after="0"/>
      </w:pPr>
      <w:r>
        <w:t>Scale:</w:t>
      </w:r>
      <w:r>
        <w:tab/>
        <w:t>9-8 = A</w:t>
      </w:r>
      <w:r w:rsidR="00712A6E">
        <w:tab/>
      </w:r>
      <w:r w:rsidR="00712A6E">
        <w:tab/>
      </w:r>
      <w:r w:rsidR="00712A6E">
        <w:tab/>
        <w:t xml:space="preserve">Including an outline with your answer will add one point (+1) to your </w:t>
      </w:r>
    </w:p>
    <w:p w:rsidR="00D45632" w:rsidRDefault="00D45632" w:rsidP="00D45632">
      <w:pPr>
        <w:spacing w:after="0"/>
        <w:ind w:left="720"/>
      </w:pPr>
      <w:r>
        <w:t>7-6 = B</w:t>
      </w:r>
      <w:r w:rsidR="00712A6E" w:rsidRPr="00712A6E">
        <w:t xml:space="preserve"> </w:t>
      </w:r>
      <w:r w:rsidR="00712A6E">
        <w:tab/>
      </w:r>
      <w:r w:rsidR="00712A6E">
        <w:tab/>
      </w:r>
      <w:r w:rsidR="00712A6E">
        <w:tab/>
      </w:r>
      <w:r w:rsidR="00712A6E">
        <w:t>final score</w:t>
      </w:r>
    </w:p>
    <w:p w:rsidR="00D45632" w:rsidRDefault="00D45632" w:rsidP="00D45632">
      <w:pPr>
        <w:spacing w:after="0"/>
        <w:ind w:firstLine="720"/>
      </w:pPr>
      <w:r>
        <w:t>5-4 = C</w:t>
      </w:r>
    </w:p>
    <w:p w:rsidR="00712A6E" w:rsidRPr="00DC27E9" w:rsidRDefault="00D45632" w:rsidP="00712A6E">
      <w:pPr>
        <w:spacing w:after="0"/>
        <w:ind w:firstLine="720"/>
      </w:pPr>
      <w:r>
        <w:t xml:space="preserve">3 = </w:t>
      </w:r>
      <w:r w:rsidR="00712A6E">
        <w:t>D</w:t>
      </w:r>
    </w:p>
    <w:sectPr w:rsidR="00712A6E" w:rsidRPr="00DC27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32AFB"/>
    <w:multiLevelType w:val="hybridMultilevel"/>
    <w:tmpl w:val="54D848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430DB"/>
    <w:multiLevelType w:val="hybridMultilevel"/>
    <w:tmpl w:val="26D6556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7F3513"/>
    <w:multiLevelType w:val="hybridMultilevel"/>
    <w:tmpl w:val="D11CE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0A6892"/>
    <w:multiLevelType w:val="hybridMultilevel"/>
    <w:tmpl w:val="08D8B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3DB5B4F"/>
    <w:multiLevelType w:val="hybridMultilevel"/>
    <w:tmpl w:val="5F140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7E9"/>
    <w:rsid w:val="001A18CF"/>
    <w:rsid w:val="00351054"/>
    <w:rsid w:val="00606E80"/>
    <w:rsid w:val="00712A6E"/>
    <w:rsid w:val="00940569"/>
    <w:rsid w:val="00A3637F"/>
    <w:rsid w:val="00C8646E"/>
    <w:rsid w:val="00D45632"/>
    <w:rsid w:val="00D726BC"/>
    <w:rsid w:val="00DB7B81"/>
    <w:rsid w:val="00DC2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27E9"/>
    <w:pPr>
      <w:ind w:left="720"/>
      <w:contextualSpacing/>
    </w:pPr>
  </w:style>
  <w:style w:type="table" w:styleId="TableGrid">
    <w:name w:val="Table Grid"/>
    <w:basedOn w:val="TableNormal"/>
    <w:uiPriority w:val="59"/>
    <w:rsid w:val="00DB7B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27E9"/>
    <w:pPr>
      <w:ind w:left="720"/>
      <w:contextualSpacing/>
    </w:pPr>
  </w:style>
  <w:style w:type="table" w:styleId="TableGrid">
    <w:name w:val="Table Grid"/>
    <w:basedOn w:val="TableNormal"/>
    <w:uiPriority w:val="59"/>
    <w:rsid w:val="00DB7B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D08E4-85A1-4327-A7AE-F4643643C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Pages>
  <Words>317</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CREC</Company>
  <LinksUpToDate>false</LinksUpToDate>
  <CharactersWithSpaces>2126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Chanese, Nicholas</dc:creator>
  <cp:lastModifiedBy>Chanese, Nicholas</cp:lastModifiedBy>
  <cp:revision>5</cp:revision>
  <dcterms:created xsi:type="dcterms:W3CDTF">2011-05-27T12:06:00Z</dcterms:created>
  <dcterms:modified xsi:type="dcterms:W3CDTF">2011-05-27T15:54:00Z</dcterms:modified>
</cp:coreProperties>
</file>